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F3" w:rsidRPr="001B4BF3" w:rsidRDefault="001B4BF3" w:rsidP="001B4BF3">
      <w:pPr>
        <w:rPr>
          <w:b/>
        </w:rPr>
      </w:pPr>
      <w:r w:rsidRPr="001B4BF3">
        <w:rPr>
          <w:b/>
        </w:rPr>
        <w:t>448. LA SITUACIÓN DE LA FENILCETONURIA EN ASTURIAS,</w:t>
      </w:r>
      <w:r>
        <w:rPr>
          <w:b/>
        </w:rPr>
        <w:t xml:space="preserve"> </w:t>
      </w:r>
      <w:r w:rsidRPr="001B4BF3">
        <w:rPr>
          <w:b/>
        </w:rPr>
        <w:t>1996-2013</w:t>
      </w:r>
    </w:p>
    <w:p w:rsidR="001B4BF3" w:rsidRPr="001B4BF3" w:rsidRDefault="001B4BF3" w:rsidP="001B4BF3">
      <w:pPr>
        <w:rPr>
          <w:b/>
        </w:rPr>
      </w:pPr>
      <w:r w:rsidRPr="001B4BF3">
        <w:rPr>
          <w:b/>
        </w:rPr>
        <w:t xml:space="preserve">L. </w:t>
      </w:r>
      <w:proofErr w:type="spellStart"/>
      <w:r w:rsidRPr="001B4BF3">
        <w:rPr>
          <w:b/>
        </w:rPr>
        <w:t>Pruneda</w:t>
      </w:r>
      <w:proofErr w:type="spellEnd"/>
      <w:r w:rsidRPr="001B4BF3">
        <w:rPr>
          <w:b/>
        </w:rPr>
        <w:t xml:space="preserve"> González, E. García Fernández, M.J. </w:t>
      </w:r>
      <w:proofErr w:type="spellStart"/>
      <w:r w:rsidRPr="001B4BF3">
        <w:rPr>
          <w:b/>
        </w:rPr>
        <w:t>Margolles</w:t>
      </w:r>
      <w:proofErr w:type="spellEnd"/>
      <w:r w:rsidRPr="001B4BF3">
        <w:rPr>
          <w:b/>
        </w:rPr>
        <w:t xml:space="preserve"> </w:t>
      </w:r>
      <w:proofErr w:type="spellStart"/>
      <w:r w:rsidRPr="001B4BF3">
        <w:rPr>
          <w:b/>
        </w:rPr>
        <w:t>Martins</w:t>
      </w:r>
      <w:proofErr w:type="spellEnd"/>
    </w:p>
    <w:p w:rsidR="001B4BF3" w:rsidRDefault="001B4BF3" w:rsidP="001B4BF3">
      <w:proofErr w:type="spellStart"/>
      <w:r>
        <w:t>SpainRDR</w:t>
      </w:r>
      <w:proofErr w:type="spellEnd"/>
      <w:r>
        <w:t xml:space="preserve">, Oficina de Investigación </w:t>
      </w:r>
      <w:proofErr w:type="spellStart"/>
      <w:r>
        <w:t>Biosanitaria</w:t>
      </w:r>
      <w:proofErr w:type="spellEnd"/>
      <w:r>
        <w:t>, Asturias;</w:t>
      </w:r>
    </w:p>
    <w:p w:rsidR="001B4BF3" w:rsidRDefault="001B4BF3" w:rsidP="001B4BF3">
      <w:r>
        <w:t>Consejería de Sanidad, Asturias.</w:t>
      </w:r>
    </w:p>
    <w:p w:rsidR="001B4BF3" w:rsidRDefault="001B4BF3" w:rsidP="001B4BF3"/>
    <w:p w:rsidR="001B4BF3" w:rsidRDefault="001B4BF3" w:rsidP="001B4BF3">
      <w:r>
        <w:t>Antecedentes/Objetivos: La primera línea estratégica de la Estrategia Nacional en Enfermedades Raras (ER) del Sistema Nacional de</w:t>
      </w:r>
    </w:p>
    <w:p w:rsidR="001B4BF3" w:rsidRDefault="001B4BF3" w:rsidP="001B4BF3">
      <w:r>
        <w:t>Salud se centra en la información sobre ER con el objetivo de apoyar</w:t>
      </w:r>
    </w:p>
    <w:p w:rsidR="001B4BF3" w:rsidRDefault="001B4BF3" w:rsidP="001B4BF3">
      <w:r>
        <w:t>actuaciones que profundicen en el conocimiento y abordaje de las</w:t>
      </w:r>
    </w:p>
    <w:p w:rsidR="001B4BF3" w:rsidRDefault="001B4BF3" w:rsidP="001B4BF3">
      <w:r>
        <w:t>mismas. Nuestro objetivo es estimar la prevalencia y describir el curso</w:t>
      </w:r>
    </w:p>
    <w:p w:rsidR="001B4BF3" w:rsidRDefault="001B4BF3" w:rsidP="001B4BF3">
      <w:r>
        <w:t>clínico de la fenilcetonuria en Asturias. Se trata del el error congénito</w:t>
      </w:r>
    </w:p>
    <w:p w:rsidR="001B4BF3" w:rsidRDefault="001B4BF3" w:rsidP="001B4BF3">
      <w:r>
        <w:t>más frecuente del metabolismo de aminoácidos. Si no se detecta en el</w:t>
      </w:r>
    </w:p>
    <w:p w:rsidR="001B4BF3" w:rsidRDefault="001B4BF3" w:rsidP="001B4BF3">
      <w:bookmarkStart w:id="0" w:name="_GoBack"/>
      <w:bookmarkEnd w:id="0"/>
      <w:r>
        <w:t xml:space="preserve">periodo neonatal, evoluciona a retraso psicomotor, microcefalia, convulsiones, eccema, y olor característico por acúmulo de </w:t>
      </w:r>
      <w:proofErr w:type="spellStart"/>
      <w:r>
        <w:t>fenilacético</w:t>
      </w:r>
      <w:proofErr w:type="spellEnd"/>
      <w:r>
        <w:t>, de</w:t>
      </w:r>
    </w:p>
    <w:p w:rsidR="001B4BF3" w:rsidRDefault="001B4BF3" w:rsidP="001B4BF3">
      <w:r>
        <w:t>ahí la importancia de la detección precoz a través del cribado neonatal.</w:t>
      </w:r>
    </w:p>
    <w:p w:rsidR="001B4BF3" w:rsidRDefault="001B4BF3" w:rsidP="001B4BF3">
      <w:r>
        <w:t xml:space="preserve">El diagnóstico se realiza con la determinación de aminoácidos en sangre, </w:t>
      </w:r>
      <w:proofErr w:type="spellStart"/>
      <w:r>
        <w:t>pterinas</w:t>
      </w:r>
      <w:proofErr w:type="spellEnd"/>
      <w:r>
        <w:t xml:space="preserve"> en orina y sobrecarga con el cofactor </w:t>
      </w:r>
      <w:proofErr w:type="spellStart"/>
      <w:r>
        <w:t>tetrahidrobiopterina</w:t>
      </w:r>
      <w:proofErr w:type="spellEnd"/>
    </w:p>
    <w:p w:rsidR="001B4BF3" w:rsidRDefault="001B4BF3" w:rsidP="001B4BF3">
      <w:r>
        <w:t>(BH4). El tratamiento consiste en la restricción de proteínas en la dieta.</w:t>
      </w:r>
    </w:p>
    <w:p w:rsidR="001B4BF3" w:rsidRDefault="001B4BF3" w:rsidP="001B4BF3">
      <w:r>
        <w:t>Métodos: Estudio descriptivo de cálculo de presentación clínica,</w:t>
      </w:r>
    </w:p>
    <w:p w:rsidR="001B4BF3" w:rsidRDefault="001B4BF3" w:rsidP="001B4BF3">
      <w:r>
        <w:t>prevalencia, tasa de incidencia anual y distribución por edad, sexo.</w:t>
      </w:r>
    </w:p>
    <w:p w:rsidR="001B4BF3" w:rsidRDefault="001B4BF3" w:rsidP="001B4BF3">
      <w:r>
        <w:t>La información procede de los registros de actividad hospitalaria</w:t>
      </w:r>
    </w:p>
    <w:p w:rsidR="001B4BF3" w:rsidRDefault="001B4BF3" w:rsidP="001B4BF3">
      <w:r>
        <w:t>(CMBD), de las historias clínicas (HC) de cada paciente diagnosticado</w:t>
      </w:r>
    </w:p>
    <w:p w:rsidR="001B4BF3" w:rsidRDefault="001B4BF3" w:rsidP="001B4BF3">
      <w:r>
        <w:t>como caso de fenilcetonuria (CIE9MC: 270.1) y de los casos del registro de cribado de Asturias entre 1996-2013.</w:t>
      </w:r>
    </w:p>
    <w:p w:rsidR="001B4BF3" w:rsidRDefault="001B4BF3" w:rsidP="001B4BF3">
      <w:r>
        <w:t>Resultados: Encontramos 30 casos que suponen una prevalencia</w:t>
      </w:r>
    </w:p>
    <w:p w:rsidR="001B4BF3" w:rsidRDefault="001B4BF3" w:rsidP="001B4BF3">
      <w:r>
        <w:t xml:space="preserve">de 2,79/100.000 </w:t>
      </w:r>
      <w:proofErr w:type="spellStart"/>
      <w:r>
        <w:t>habs</w:t>
      </w:r>
      <w:proofErr w:type="spellEnd"/>
      <w:r>
        <w:t xml:space="preserve"> y se descartan 3. Más frecuente en hombres</w:t>
      </w:r>
    </w:p>
    <w:p w:rsidR="001B4BF3" w:rsidRDefault="001B4BF3" w:rsidP="001B4BF3">
      <w:r>
        <w:t>(56,7%). La mediana de edad en los que se conoce la edad de diagnóstico es de 18 días (6 a 76 días). Seis recién nacidos fueron prematuros.</w:t>
      </w:r>
    </w:p>
    <w:p w:rsidR="001B4BF3" w:rsidRDefault="001B4BF3" w:rsidP="001B4BF3">
      <w:r>
        <w:t>Dada la precocidad del diagnóstico se detectan pocos síntomas, el más</w:t>
      </w:r>
    </w:p>
    <w:p w:rsidR="001B4BF3" w:rsidRDefault="001B4BF3" w:rsidP="001B4BF3">
      <w:r>
        <w:t>prevalente las alteraciones del comportamiento (sobre todo hiperactividad 17%), seguido de retraso psicomotor (14%) y retraso mental</w:t>
      </w:r>
    </w:p>
    <w:p w:rsidR="001B4BF3" w:rsidRDefault="001B4BF3" w:rsidP="001B4BF3">
      <w:r>
        <w:t>(10%), 2 nacidos antes del diagnóstico prenatal. La prueba diagnóstica más frecuente fue la cuantificación de aminoácidos en sangre,</w:t>
      </w:r>
    </w:p>
    <w:p w:rsidR="001B4BF3" w:rsidRDefault="001B4BF3" w:rsidP="001B4BF3">
      <w:r>
        <w:t xml:space="preserve">recogida en la HC en el 66%, la actividad </w:t>
      </w:r>
      <w:proofErr w:type="spellStart"/>
      <w:r>
        <w:t>dihidrobiopterina</w:t>
      </w:r>
      <w:proofErr w:type="spellEnd"/>
      <w:r>
        <w:t xml:space="preserve"> </w:t>
      </w:r>
      <w:proofErr w:type="spellStart"/>
      <w:r>
        <w:t>reductasa</w:t>
      </w:r>
      <w:proofErr w:type="spellEnd"/>
    </w:p>
    <w:p w:rsidR="001B4BF3" w:rsidRDefault="001B4BF3" w:rsidP="001B4BF3">
      <w:r>
        <w:t>(DHPR) en eritrocitos y la prueba de orina congelada en la oscuridad</w:t>
      </w:r>
    </w:p>
    <w:p w:rsidR="001B4BF3" w:rsidRDefault="001B4BF3" w:rsidP="001B4BF3">
      <w:r>
        <w:t>(ambas 34%). Se identificaron las mutaciones responsables de la deficiencia enzimática en 7 casos. El tratamiento fue dietético, restricción del aporte de fenilalanina, asociado a suplementos vitamínicos.</w:t>
      </w:r>
    </w:p>
    <w:p w:rsidR="001B4BF3" w:rsidRDefault="001B4BF3" w:rsidP="001B4BF3">
      <w:r>
        <w:t>El 35% reciben un medicamento huérfano (KUVAN®-</w:t>
      </w:r>
      <w:proofErr w:type="spellStart"/>
      <w:r>
        <w:t>dihidrocloruro</w:t>
      </w:r>
      <w:proofErr w:type="spellEnd"/>
    </w:p>
    <w:p w:rsidR="001B4BF3" w:rsidRDefault="001B4BF3" w:rsidP="001B4BF3">
      <w:r>
        <w:t xml:space="preserve">de </w:t>
      </w:r>
      <w:proofErr w:type="spellStart"/>
      <w:r>
        <w:t>sapropterina</w:t>
      </w:r>
      <w:proofErr w:type="spellEnd"/>
      <w:r>
        <w:t>) retirado en 1 caso por fracaso terapéutico. A pesar</w:t>
      </w:r>
    </w:p>
    <w:p w:rsidR="001B4BF3" w:rsidRDefault="001B4BF3" w:rsidP="001B4BF3">
      <w:r>
        <w:t>del beneficio de la lactancia materna en el mantenimiento del nivel</w:t>
      </w:r>
    </w:p>
    <w:p w:rsidR="001B4BF3" w:rsidRDefault="001B4BF3" w:rsidP="001B4BF3">
      <w:r>
        <w:t xml:space="preserve">adecuado de </w:t>
      </w:r>
      <w:proofErr w:type="spellStart"/>
      <w:r>
        <w:t>Phe</w:t>
      </w:r>
      <w:proofErr w:type="spellEnd"/>
      <w:r>
        <w:t xml:space="preserve"> solo la recibieron 4 casos.</w:t>
      </w:r>
    </w:p>
    <w:p w:rsidR="001B4BF3" w:rsidRDefault="001B4BF3" w:rsidP="001B4BF3">
      <w:r>
        <w:t>Conclusiones: Destaca la importancia de la realización del cribado</w:t>
      </w:r>
    </w:p>
    <w:p w:rsidR="001B4BF3" w:rsidRDefault="001B4BF3" w:rsidP="001B4BF3">
      <w:r>
        <w:t>para la detección precoz de los casos y evitar la aparición de sintomatología en los pacientes afectados. Se debería potenciar la alternancia</w:t>
      </w:r>
    </w:p>
    <w:p w:rsidR="0010028D" w:rsidRDefault="001B4BF3" w:rsidP="001B4BF3">
      <w:r>
        <w:t>de la fórmula adaptada con la lactancia materna en los casos de fenilcetonuria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3"/>
    <w:rsid w:val="0010028D"/>
    <w:rsid w:val="001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2015-05-16T10:27:00Z</dcterms:created>
  <dcterms:modified xsi:type="dcterms:W3CDTF">2015-05-16T10:28:00Z</dcterms:modified>
</cp:coreProperties>
</file>